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 w:type="dxa"/>
        <w:tblLayout w:type="fixed"/>
        <w:tblLook w:val="0000" w:firstRow="0" w:lastRow="0" w:firstColumn="0" w:lastColumn="0" w:noHBand="0" w:noVBand="0"/>
      </w:tblPr>
      <w:tblGrid>
        <w:gridCol w:w="8370"/>
        <w:gridCol w:w="1350"/>
      </w:tblGrid>
      <w:tr w:rsidR="00965D66" w14:paraId="4A34D49F" w14:textId="77777777" w:rsidTr="00906FC2">
        <w:tc>
          <w:tcPr>
            <w:tcW w:w="8370" w:type="dxa"/>
          </w:tcPr>
          <w:p w14:paraId="0BFFE2F8" w14:textId="77777777" w:rsidR="00965D66" w:rsidRPr="00906FC2" w:rsidRDefault="00965D66" w:rsidP="00906FC2">
            <w:pPr>
              <w:pStyle w:val="Title"/>
              <w:rPr>
                <w:rFonts w:ascii="Arial" w:hAnsi="Arial"/>
                <w:sz w:val="56"/>
                <w:szCs w:val="56"/>
              </w:rPr>
            </w:pPr>
            <w:r w:rsidRPr="00906FC2">
              <w:rPr>
                <w:rFonts w:ascii="Arial" w:hAnsi="Arial"/>
                <w:sz w:val="56"/>
                <w:szCs w:val="56"/>
              </w:rPr>
              <w:t>PUBLIC NOTICE</w:t>
            </w:r>
          </w:p>
          <w:p w14:paraId="72B2EBCE" w14:textId="77777777" w:rsidR="00965D66" w:rsidRDefault="00965D66" w:rsidP="00906FC2">
            <w:pPr>
              <w:jc w:val="center"/>
              <w:rPr>
                <w:rFonts w:ascii="Arial" w:hAnsi="Arial"/>
                <w:b/>
              </w:rPr>
            </w:pPr>
            <w:r>
              <w:rPr>
                <w:rFonts w:ascii="Arial" w:hAnsi="Arial"/>
                <w:b/>
              </w:rPr>
              <w:t xml:space="preserve">THE </w:t>
            </w:r>
            <w:smartTag w:uri="urn:schemas-microsoft-com:office:smarttags" w:element="place">
              <w:smartTag w:uri="urn:schemas-microsoft-com:office:smarttags" w:element="PlaceType">
                <w:r>
                  <w:rPr>
                    <w:rFonts w:ascii="Arial" w:hAnsi="Arial"/>
                    <w:b/>
                  </w:rPr>
                  <w:t>COUNTY</w:t>
                </w:r>
              </w:smartTag>
              <w:r>
                <w:rPr>
                  <w:rFonts w:ascii="Arial" w:hAnsi="Arial"/>
                  <w:b/>
                </w:rPr>
                <w:t xml:space="preserve"> OF </w:t>
              </w:r>
              <w:smartTag w:uri="urn:schemas-microsoft-com:office:smarttags" w:element="PlaceName">
                <w:r>
                  <w:rPr>
                    <w:rFonts w:ascii="Arial" w:hAnsi="Arial"/>
                    <w:b/>
                  </w:rPr>
                  <w:t>PEMBROKE</w:t>
                </w:r>
              </w:smartTag>
            </w:smartTag>
          </w:p>
          <w:p w14:paraId="550D2204" w14:textId="77777777" w:rsidR="00965D66" w:rsidRDefault="00965D66" w:rsidP="00906FC2">
            <w:pPr>
              <w:jc w:val="center"/>
              <w:rPr>
                <w:rFonts w:ascii="Arial" w:hAnsi="Arial"/>
                <w:b/>
              </w:rPr>
            </w:pPr>
            <w:r>
              <w:rPr>
                <w:rFonts w:ascii="Arial" w:hAnsi="Arial"/>
                <w:b/>
              </w:rPr>
              <w:t>(TEMPORARY PROHIBITION</w:t>
            </w:r>
            <w:r w:rsidR="00707C05">
              <w:rPr>
                <w:rFonts w:ascii="Arial" w:hAnsi="Arial"/>
                <w:b/>
              </w:rPr>
              <w:t xml:space="preserve">/RESTRICTION OF </w:t>
            </w:r>
            <w:r>
              <w:rPr>
                <w:rFonts w:ascii="Arial" w:hAnsi="Arial"/>
                <w:b/>
              </w:rPr>
              <w:t>VEHICULAR TRAFFIC)</w:t>
            </w:r>
          </w:p>
          <w:p w14:paraId="73DEC7BF" w14:textId="77777777" w:rsidR="00965D66" w:rsidRDefault="00965D66" w:rsidP="00906FC2">
            <w:pPr>
              <w:jc w:val="center"/>
              <w:rPr>
                <w:rFonts w:ascii="Arial" w:hAnsi="Arial"/>
                <w:b/>
              </w:rPr>
            </w:pPr>
            <w:r>
              <w:rPr>
                <w:rFonts w:ascii="Arial" w:hAnsi="Arial"/>
                <w:b/>
              </w:rPr>
              <w:t>ROAD TRAFFIC REGULATION ACT 1984 AS AMENDED</w:t>
            </w:r>
          </w:p>
          <w:p w14:paraId="44A1D17D" w14:textId="77777777" w:rsidR="00965D66" w:rsidRDefault="00965D66" w:rsidP="00906FC2">
            <w:pPr>
              <w:jc w:val="center"/>
              <w:rPr>
                <w:rFonts w:ascii="Arial" w:hAnsi="Arial"/>
                <w:b/>
              </w:rPr>
            </w:pPr>
            <w:r>
              <w:rPr>
                <w:rFonts w:ascii="Arial" w:hAnsi="Arial"/>
                <w:b/>
              </w:rPr>
              <w:t>SECTION 14(2)</w:t>
            </w:r>
          </w:p>
          <w:p w14:paraId="0EEE7FDB" w14:textId="77777777" w:rsidR="00965D66" w:rsidRDefault="00965D66" w:rsidP="00906FC2">
            <w:pPr>
              <w:pStyle w:val="Formal1"/>
              <w:ind w:right="-108"/>
              <w:jc w:val="center"/>
            </w:pPr>
          </w:p>
        </w:tc>
        <w:tc>
          <w:tcPr>
            <w:tcW w:w="1350" w:type="dxa"/>
          </w:tcPr>
          <w:p w14:paraId="6EABA70F" w14:textId="369571B1" w:rsidR="00965D66" w:rsidRDefault="00FA0DAB">
            <w:pPr>
              <w:pStyle w:val="Formal1"/>
              <w:ind w:right="-108"/>
              <w:jc w:val="center"/>
            </w:pPr>
            <w:r w:rsidRPr="003E12CA">
              <w:rPr>
                <w:lang w:val="en-GB" w:eastAsia="en-GB"/>
              </w:rPr>
              <w:drawing>
                <wp:inline distT="0" distB="0" distL="0" distR="0" wp14:anchorId="1E377589" wp14:editId="30DF9435">
                  <wp:extent cx="608402" cy="1120140"/>
                  <wp:effectExtent l="0" t="0" r="1270" b="3810"/>
                  <wp:docPr id="2" name="Picture 4" descr="P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654" cy="1127968"/>
                          </a:xfrm>
                          <a:prstGeom prst="rect">
                            <a:avLst/>
                          </a:prstGeom>
                          <a:noFill/>
                          <a:ln>
                            <a:noFill/>
                          </a:ln>
                        </pic:spPr>
                      </pic:pic>
                    </a:graphicData>
                  </a:graphic>
                </wp:inline>
              </w:drawing>
            </w:r>
          </w:p>
        </w:tc>
      </w:tr>
    </w:tbl>
    <w:p w14:paraId="67CDC06F" w14:textId="77777777" w:rsidR="00707C05" w:rsidRDefault="00965D66">
      <w:pPr>
        <w:rPr>
          <w:rFonts w:ascii="Arial" w:hAnsi="Arial"/>
        </w:rPr>
      </w:pPr>
      <w:r>
        <w:rPr>
          <w:rFonts w:ascii="Arial" w:hAnsi="Arial"/>
        </w:rPr>
        <w:t xml:space="preserve">Pembrokeshire County Council hereby gives notice </w:t>
      </w:r>
      <w:r w:rsidR="00DE6D8B">
        <w:rPr>
          <w:rFonts w:ascii="Arial" w:hAnsi="Arial"/>
        </w:rPr>
        <w:t>that</w:t>
      </w:r>
      <w:r>
        <w:rPr>
          <w:rFonts w:ascii="Arial" w:hAnsi="Arial"/>
        </w:rPr>
        <w:t xml:space="preserve"> </w:t>
      </w:r>
      <w:r w:rsidR="00707C05">
        <w:rPr>
          <w:rFonts w:ascii="Arial" w:hAnsi="Arial"/>
        </w:rPr>
        <w:t>the following restriction(s) as detailed in the schedule to this notice will apply during the dates and times specified.</w:t>
      </w:r>
    </w:p>
    <w:p w14:paraId="5B5C5902" w14:textId="77777777" w:rsidR="00707C05" w:rsidRDefault="00707C05">
      <w:pPr>
        <w:rPr>
          <w:rFonts w:ascii="Arial" w:hAnsi="Arial"/>
        </w:rPr>
      </w:pPr>
    </w:p>
    <w:p w14:paraId="00CF9725" w14:textId="77777777" w:rsidR="00430C3A" w:rsidRDefault="00430C3A" w:rsidP="00430C3A">
      <w:pPr>
        <w:jc w:val="center"/>
        <w:rPr>
          <w:rFonts w:ascii="Arial" w:hAnsi="Arial"/>
          <w:b/>
        </w:rPr>
      </w:pPr>
      <w:r w:rsidRPr="00430C3A">
        <w:rPr>
          <w:rFonts w:ascii="Arial" w:hAnsi="Arial"/>
          <w:b/>
        </w:rPr>
        <w:t>SCHEDULE</w:t>
      </w:r>
    </w:p>
    <w:p w14:paraId="36E60BC2" w14:textId="77777777" w:rsidR="002A0C3F" w:rsidRPr="00430C3A" w:rsidRDefault="002A0C3F" w:rsidP="00430C3A">
      <w:pPr>
        <w:jc w:val="center"/>
        <w:rPr>
          <w:rFonts w:ascii="Arial" w:hAnsi="Arial"/>
          <w:b/>
        </w:rPr>
      </w:pPr>
    </w:p>
    <w:tbl>
      <w:tblPr>
        <w:tblW w:w="0" w:type="auto"/>
        <w:tblLook w:val="01E0" w:firstRow="1" w:lastRow="1" w:firstColumn="1" w:lastColumn="1" w:noHBand="0" w:noVBand="0"/>
      </w:tblPr>
      <w:tblGrid>
        <w:gridCol w:w="2587"/>
        <w:gridCol w:w="6709"/>
      </w:tblGrid>
      <w:tr w:rsidR="002A0C3F" w:rsidRPr="00F17A92" w14:paraId="229C6FB5" w14:textId="77777777" w:rsidTr="00797F10">
        <w:trPr>
          <w:trHeight w:val="1672"/>
        </w:trPr>
        <w:tc>
          <w:tcPr>
            <w:tcW w:w="2587" w:type="dxa"/>
          </w:tcPr>
          <w:p w14:paraId="325DD67D" w14:textId="77777777" w:rsidR="002A0C3F" w:rsidRPr="00F17A92" w:rsidRDefault="002A0C3F">
            <w:pPr>
              <w:rPr>
                <w:rFonts w:ascii="Arial" w:hAnsi="Arial"/>
              </w:rPr>
            </w:pPr>
            <w:bookmarkStart w:id="0" w:name="_Hlk181687948"/>
            <w:r w:rsidRPr="00F17A92">
              <w:rPr>
                <w:rFonts w:ascii="Arial" w:hAnsi="Arial"/>
                <w:b/>
              </w:rPr>
              <w:t xml:space="preserve">Restriction </w:t>
            </w:r>
            <w:proofErr w:type="gramStart"/>
            <w:r w:rsidRPr="00F17A92">
              <w:rPr>
                <w:rFonts w:ascii="Arial" w:hAnsi="Arial"/>
                <w:b/>
              </w:rPr>
              <w:t>Type:-</w:t>
            </w:r>
            <w:proofErr w:type="gramEnd"/>
          </w:p>
          <w:p w14:paraId="54FA4383" w14:textId="77777777" w:rsidR="002A0C3F" w:rsidRDefault="002A0C3F">
            <w:pPr>
              <w:rPr>
                <w:rFonts w:ascii="Arial" w:hAnsi="Arial"/>
              </w:rPr>
            </w:pPr>
          </w:p>
          <w:p w14:paraId="1FFCEB15" w14:textId="77777777" w:rsidR="002D3B23" w:rsidRDefault="002D3B23">
            <w:pPr>
              <w:rPr>
                <w:rFonts w:ascii="Arial" w:hAnsi="Arial"/>
                <w:b/>
              </w:rPr>
            </w:pPr>
            <w:proofErr w:type="gramStart"/>
            <w:r w:rsidRPr="002D3B23">
              <w:rPr>
                <w:rFonts w:ascii="Arial" w:hAnsi="Arial"/>
                <w:b/>
              </w:rPr>
              <w:t>Reference</w:t>
            </w:r>
            <w:r>
              <w:rPr>
                <w:rFonts w:ascii="Arial" w:hAnsi="Arial"/>
                <w:b/>
              </w:rPr>
              <w:t>:-</w:t>
            </w:r>
            <w:proofErr w:type="gramEnd"/>
          </w:p>
          <w:p w14:paraId="44D34D16" w14:textId="77777777" w:rsidR="002D3B23" w:rsidRDefault="002D3B23">
            <w:pPr>
              <w:rPr>
                <w:rFonts w:ascii="Arial" w:hAnsi="Arial"/>
                <w:b/>
              </w:rPr>
            </w:pPr>
          </w:p>
          <w:p w14:paraId="79411144" w14:textId="77777777" w:rsidR="002D3B23" w:rsidRPr="002D3B23" w:rsidRDefault="002D3B23">
            <w:pPr>
              <w:rPr>
                <w:rFonts w:ascii="Arial" w:hAnsi="Arial"/>
                <w:b/>
              </w:rPr>
            </w:pPr>
            <w:proofErr w:type="gramStart"/>
            <w:r>
              <w:rPr>
                <w:rFonts w:ascii="Arial" w:hAnsi="Arial"/>
                <w:b/>
              </w:rPr>
              <w:t>Applicant</w:t>
            </w:r>
            <w:r w:rsidRPr="002D3B23">
              <w:rPr>
                <w:rFonts w:ascii="Arial" w:hAnsi="Arial"/>
                <w:b/>
              </w:rPr>
              <w:t>:-</w:t>
            </w:r>
            <w:proofErr w:type="gramEnd"/>
          </w:p>
        </w:tc>
        <w:tc>
          <w:tcPr>
            <w:tcW w:w="6709" w:type="dxa"/>
          </w:tcPr>
          <w:p w14:paraId="50405A75" w14:textId="77777777" w:rsidR="002A0C3F" w:rsidRPr="00027E61" w:rsidRDefault="008B14F9" w:rsidP="00197AA9">
            <w:pPr>
              <w:jc w:val="both"/>
              <w:rPr>
                <w:rFonts w:ascii="Arial" w:hAnsi="Arial" w:cs="Arial"/>
              </w:rPr>
            </w:pPr>
            <w:r w:rsidRPr="00027E61">
              <w:rPr>
                <w:rFonts w:ascii="Arial" w:hAnsi="Arial" w:cs="Arial"/>
              </w:rPr>
              <w:t>Temporary Prohibition of Vehicular Traffic (Road Closure)</w:t>
            </w:r>
          </w:p>
          <w:p w14:paraId="4FDB24FA" w14:textId="77777777" w:rsidR="002D3B23" w:rsidRPr="00027E61" w:rsidRDefault="002D3B23" w:rsidP="00197AA9">
            <w:pPr>
              <w:jc w:val="both"/>
              <w:rPr>
                <w:rFonts w:ascii="Arial" w:hAnsi="Arial" w:cs="Arial"/>
              </w:rPr>
            </w:pPr>
          </w:p>
          <w:p w14:paraId="011F362B" w14:textId="751AAAC5" w:rsidR="000A101F" w:rsidRPr="00027E61" w:rsidRDefault="000A101F" w:rsidP="00197AA9">
            <w:pPr>
              <w:jc w:val="both"/>
              <w:rPr>
                <w:rFonts w:ascii="Arial" w:hAnsi="Arial" w:cs="Arial"/>
              </w:rPr>
            </w:pPr>
            <w:r w:rsidRPr="00027E61">
              <w:rPr>
                <w:rFonts w:ascii="Arial" w:hAnsi="Arial" w:cs="Arial"/>
              </w:rPr>
              <w:t>202</w:t>
            </w:r>
            <w:r w:rsidR="001B5CA7" w:rsidRPr="00027E61">
              <w:rPr>
                <w:rFonts w:ascii="Arial" w:hAnsi="Arial" w:cs="Arial"/>
              </w:rPr>
              <w:t>6</w:t>
            </w:r>
            <w:r w:rsidR="002421A3" w:rsidRPr="00027E61">
              <w:rPr>
                <w:rFonts w:ascii="Arial" w:hAnsi="Arial" w:cs="Arial"/>
              </w:rPr>
              <w:t>/</w:t>
            </w:r>
            <w:r w:rsidR="003046E6">
              <w:rPr>
                <w:rFonts w:ascii="Arial" w:hAnsi="Arial" w:cs="Arial"/>
              </w:rPr>
              <w:t>297</w:t>
            </w:r>
          </w:p>
          <w:p w14:paraId="4D9451B2" w14:textId="77777777" w:rsidR="002D3B23" w:rsidRPr="00027E61" w:rsidRDefault="002D3B23" w:rsidP="00197AA9">
            <w:pPr>
              <w:jc w:val="both"/>
              <w:rPr>
                <w:rFonts w:ascii="Arial" w:hAnsi="Arial" w:cs="Arial"/>
              </w:rPr>
            </w:pPr>
          </w:p>
          <w:p w14:paraId="2DDA1676" w14:textId="391AAB84" w:rsidR="004754D6" w:rsidRPr="00027E61" w:rsidRDefault="003046E6" w:rsidP="00197AA9">
            <w:pPr>
              <w:jc w:val="both"/>
              <w:rPr>
                <w:rFonts w:ascii="Arial" w:hAnsi="Arial" w:cs="Arial"/>
              </w:rPr>
            </w:pPr>
            <w:r>
              <w:rPr>
                <w:rFonts w:ascii="Arial" w:hAnsi="Arial" w:cs="Arial"/>
              </w:rPr>
              <w:t>Welsh Water</w:t>
            </w:r>
          </w:p>
        </w:tc>
      </w:tr>
      <w:tr w:rsidR="002A0C3F" w:rsidRPr="00F17A92" w14:paraId="128ED530" w14:textId="77777777" w:rsidTr="00797F10">
        <w:trPr>
          <w:trHeight w:val="836"/>
        </w:trPr>
        <w:tc>
          <w:tcPr>
            <w:tcW w:w="2587" w:type="dxa"/>
          </w:tcPr>
          <w:p w14:paraId="66762720" w14:textId="77777777" w:rsidR="002A0C3F" w:rsidRPr="00F17A92" w:rsidRDefault="002A0C3F">
            <w:pPr>
              <w:rPr>
                <w:rFonts w:ascii="Arial" w:hAnsi="Arial"/>
                <w:b/>
              </w:rPr>
            </w:pPr>
            <w:proofErr w:type="gramStart"/>
            <w:r w:rsidRPr="00F17A92">
              <w:rPr>
                <w:rFonts w:ascii="Arial" w:hAnsi="Arial"/>
                <w:b/>
              </w:rPr>
              <w:t>Location:-</w:t>
            </w:r>
            <w:proofErr w:type="gramEnd"/>
          </w:p>
          <w:p w14:paraId="5DC7F58D" w14:textId="77777777" w:rsidR="002A0C3F" w:rsidRPr="00F17A92" w:rsidRDefault="002A0C3F">
            <w:pPr>
              <w:rPr>
                <w:rFonts w:ascii="Arial" w:hAnsi="Arial"/>
              </w:rPr>
            </w:pPr>
          </w:p>
        </w:tc>
        <w:tc>
          <w:tcPr>
            <w:tcW w:w="6709" w:type="dxa"/>
          </w:tcPr>
          <w:p w14:paraId="52530763" w14:textId="77777777" w:rsidR="0010211E" w:rsidRDefault="003046E6" w:rsidP="002421A3">
            <w:pPr>
              <w:jc w:val="both"/>
              <w:rPr>
                <w:rFonts w:ascii="Arial" w:hAnsi="Arial" w:cs="Arial"/>
              </w:rPr>
            </w:pPr>
            <w:r w:rsidRPr="003046E6">
              <w:rPr>
                <w:rFonts w:ascii="Arial" w:hAnsi="Arial" w:cs="Arial"/>
              </w:rPr>
              <w:t xml:space="preserve">Birds Lane, Carew – from its junction with Kesteven Court, southeast to its junction with the U6351 road leading to </w:t>
            </w:r>
            <w:proofErr w:type="spellStart"/>
            <w:r w:rsidRPr="003046E6">
              <w:rPr>
                <w:rFonts w:ascii="Arial" w:hAnsi="Arial" w:cs="Arial"/>
              </w:rPr>
              <w:t>Crickchurch</w:t>
            </w:r>
            <w:proofErr w:type="spellEnd"/>
            <w:r w:rsidRPr="003046E6">
              <w:rPr>
                <w:rFonts w:ascii="Arial" w:hAnsi="Arial" w:cs="Arial"/>
              </w:rPr>
              <w:t xml:space="preserve"> Farm</w:t>
            </w:r>
          </w:p>
          <w:p w14:paraId="5B2416E2" w14:textId="49C63801" w:rsidR="003046E6" w:rsidRPr="00027E61" w:rsidRDefault="003046E6" w:rsidP="002421A3">
            <w:pPr>
              <w:jc w:val="both"/>
              <w:rPr>
                <w:rFonts w:ascii="Arial" w:hAnsi="Arial" w:cs="Arial"/>
                <w:szCs w:val="24"/>
              </w:rPr>
            </w:pPr>
          </w:p>
        </w:tc>
      </w:tr>
      <w:tr w:rsidR="002A0C3F" w:rsidRPr="00F17A92" w14:paraId="4CA9A053" w14:textId="77777777" w:rsidTr="00797F10">
        <w:trPr>
          <w:trHeight w:val="836"/>
        </w:trPr>
        <w:tc>
          <w:tcPr>
            <w:tcW w:w="2587" w:type="dxa"/>
          </w:tcPr>
          <w:p w14:paraId="0C955A4C" w14:textId="77777777" w:rsidR="002A0C3F" w:rsidRPr="00F17A92" w:rsidRDefault="002A0C3F">
            <w:pPr>
              <w:rPr>
                <w:rFonts w:ascii="Arial" w:hAnsi="Arial"/>
              </w:rPr>
            </w:pPr>
            <w:r w:rsidRPr="00F17A92">
              <w:rPr>
                <w:rFonts w:ascii="Arial" w:hAnsi="Arial"/>
                <w:b/>
              </w:rPr>
              <w:t xml:space="preserve">Operational dates / </w:t>
            </w:r>
            <w:proofErr w:type="gramStart"/>
            <w:r w:rsidRPr="00F17A92">
              <w:rPr>
                <w:rFonts w:ascii="Arial" w:hAnsi="Arial"/>
                <w:b/>
              </w:rPr>
              <w:t>times:-</w:t>
            </w:r>
            <w:proofErr w:type="gramEnd"/>
          </w:p>
          <w:p w14:paraId="58B5D080" w14:textId="77777777" w:rsidR="002A0C3F" w:rsidRPr="00F17A92" w:rsidRDefault="002A0C3F">
            <w:pPr>
              <w:rPr>
                <w:rFonts w:ascii="Arial" w:hAnsi="Arial"/>
              </w:rPr>
            </w:pPr>
          </w:p>
        </w:tc>
        <w:tc>
          <w:tcPr>
            <w:tcW w:w="6709" w:type="dxa"/>
          </w:tcPr>
          <w:p w14:paraId="520CB5DC" w14:textId="1C36FA82" w:rsidR="0093062D" w:rsidRPr="00027E61" w:rsidRDefault="003046E6" w:rsidP="0093062D">
            <w:pPr>
              <w:jc w:val="both"/>
              <w:rPr>
                <w:rFonts w:ascii="Arial" w:hAnsi="Arial" w:cs="Arial"/>
              </w:rPr>
            </w:pPr>
            <w:r w:rsidRPr="003046E6">
              <w:rPr>
                <w:rFonts w:ascii="Arial" w:hAnsi="Arial" w:cs="Arial"/>
              </w:rPr>
              <w:t>Tuesday 14</w:t>
            </w:r>
            <w:r w:rsidRPr="003046E6">
              <w:rPr>
                <w:rFonts w:ascii="Arial" w:hAnsi="Arial" w:cs="Arial"/>
                <w:vertAlign w:val="superscript"/>
              </w:rPr>
              <w:t>th</w:t>
            </w:r>
            <w:r w:rsidRPr="003046E6">
              <w:rPr>
                <w:rFonts w:ascii="Arial" w:hAnsi="Arial" w:cs="Arial"/>
              </w:rPr>
              <w:t xml:space="preserve"> April 2026 for 2 days</w:t>
            </w:r>
          </w:p>
        </w:tc>
      </w:tr>
      <w:tr w:rsidR="002A0C3F" w:rsidRPr="00F17A92" w14:paraId="51FA3578" w14:textId="77777777" w:rsidTr="00797F10">
        <w:trPr>
          <w:trHeight w:val="836"/>
        </w:trPr>
        <w:tc>
          <w:tcPr>
            <w:tcW w:w="2587" w:type="dxa"/>
          </w:tcPr>
          <w:p w14:paraId="22785D1B" w14:textId="77777777" w:rsidR="002A0C3F" w:rsidRPr="00F17A92" w:rsidRDefault="002A0C3F">
            <w:pPr>
              <w:rPr>
                <w:rFonts w:ascii="Arial" w:hAnsi="Arial"/>
              </w:rPr>
            </w:pPr>
            <w:r w:rsidRPr="00F17A92">
              <w:rPr>
                <w:rFonts w:ascii="Arial" w:hAnsi="Arial"/>
                <w:b/>
              </w:rPr>
              <w:t xml:space="preserve">Reason for </w:t>
            </w:r>
            <w:proofErr w:type="gramStart"/>
            <w:r w:rsidRPr="00F17A92">
              <w:rPr>
                <w:rFonts w:ascii="Arial" w:hAnsi="Arial"/>
                <w:b/>
              </w:rPr>
              <w:t>restriction:-</w:t>
            </w:r>
            <w:proofErr w:type="gramEnd"/>
            <w:r w:rsidRPr="00F17A92">
              <w:rPr>
                <w:rFonts w:ascii="Arial" w:hAnsi="Arial"/>
                <w:b/>
              </w:rPr>
              <w:t xml:space="preserve">   </w:t>
            </w:r>
          </w:p>
          <w:p w14:paraId="7E989D30" w14:textId="77777777" w:rsidR="002A0C3F" w:rsidRPr="00F17A92" w:rsidRDefault="002A0C3F">
            <w:pPr>
              <w:rPr>
                <w:rFonts w:ascii="Arial" w:hAnsi="Arial"/>
              </w:rPr>
            </w:pPr>
          </w:p>
        </w:tc>
        <w:tc>
          <w:tcPr>
            <w:tcW w:w="6709" w:type="dxa"/>
          </w:tcPr>
          <w:p w14:paraId="2269DAC3" w14:textId="00C4A3EE" w:rsidR="002A0C3F" w:rsidRPr="00027E61" w:rsidRDefault="003046E6" w:rsidP="00197AA9">
            <w:pPr>
              <w:jc w:val="both"/>
              <w:rPr>
                <w:rFonts w:ascii="Arial" w:hAnsi="Arial" w:cs="Arial"/>
              </w:rPr>
            </w:pPr>
            <w:r w:rsidRPr="003046E6">
              <w:rPr>
                <w:rFonts w:ascii="Arial" w:hAnsi="Arial" w:cs="Arial"/>
              </w:rPr>
              <w:t>Installation of new water service connection</w:t>
            </w:r>
          </w:p>
        </w:tc>
      </w:tr>
      <w:tr w:rsidR="002A0C3F" w:rsidRPr="00F17A92" w14:paraId="7FAA4414" w14:textId="77777777" w:rsidTr="00DA3737">
        <w:trPr>
          <w:trHeight w:val="613"/>
        </w:trPr>
        <w:tc>
          <w:tcPr>
            <w:tcW w:w="2587" w:type="dxa"/>
          </w:tcPr>
          <w:p w14:paraId="06E21324" w14:textId="77777777" w:rsidR="002A0C3F" w:rsidRPr="00F17A92" w:rsidRDefault="002A0C3F">
            <w:pPr>
              <w:rPr>
                <w:rFonts w:ascii="Arial" w:hAnsi="Arial"/>
              </w:rPr>
            </w:pPr>
            <w:r w:rsidRPr="00F17A92">
              <w:rPr>
                <w:rFonts w:ascii="Arial" w:hAnsi="Arial"/>
                <w:b/>
              </w:rPr>
              <w:t xml:space="preserve">Alternative </w:t>
            </w:r>
            <w:proofErr w:type="gramStart"/>
            <w:r w:rsidRPr="00F17A92">
              <w:rPr>
                <w:rFonts w:ascii="Arial" w:hAnsi="Arial"/>
                <w:b/>
              </w:rPr>
              <w:t>route:-</w:t>
            </w:r>
            <w:proofErr w:type="gramEnd"/>
            <w:r w:rsidRPr="00F17A92">
              <w:rPr>
                <w:rFonts w:ascii="Arial" w:hAnsi="Arial"/>
                <w:b/>
              </w:rPr>
              <w:t xml:space="preserve">   </w:t>
            </w:r>
          </w:p>
          <w:p w14:paraId="2A04F7B0" w14:textId="77777777" w:rsidR="002A0C3F" w:rsidRPr="00F17A92" w:rsidRDefault="002A0C3F">
            <w:pPr>
              <w:rPr>
                <w:rFonts w:ascii="Arial" w:hAnsi="Arial"/>
              </w:rPr>
            </w:pPr>
          </w:p>
        </w:tc>
        <w:tc>
          <w:tcPr>
            <w:tcW w:w="6709" w:type="dxa"/>
          </w:tcPr>
          <w:p w14:paraId="5EC55B3E" w14:textId="77777777" w:rsidR="0010211E" w:rsidRDefault="003046E6" w:rsidP="00D462E6">
            <w:pPr>
              <w:jc w:val="both"/>
              <w:rPr>
                <w:rFonts w:ascii="Arial" w:hAnsi="Arial" w:cs="Arial"/>
              </w:rPr>
            </w:pPr>
            <w:r w:rsidRPr="003046E6">
              <w:rPr>
                <w:rFonts w:ascii="Arial" w:hAnsi="Arial" w:cs="Arial"/>
              </w:rPr>
              <w:t xml:space="preserve">A4075 road leading to Carew Roundabout, A477(T) Pembroke to </w:t>
            </w:r>
            <w:proofErr w:type="gramStart"/>
            <w:r w:rsidRPr="003046E6">
              <w:rPr>
                <w:rFonts w:ascii="Arial" w:hAnsi="Arial" w:cs="Arial"/>
              </w:rPr>
              <w:t>St Clears road</w:t>
            </w:r>
            <w:proofErr w:type="gramEnd"/>
            <w:r w:rsidRPr="003046E6">
              <w:rPr>
                <w:rFonts w:ascii="Arial" w:hAnsi="Arial" w:cs="Arial"/>
              </w:rPr>
              <w:t>, Sageston Roundabout, B4316 road leading to Sageston and C3206 road leading to Carew</w:t>
            </w:r>
          </w:p>
          <w:p w14:paraId="3A7D9AD9" w14:textId="04496BFD" w:rsidR="003046E6" w:rsidRPr="00027E61" w:rsidRDefault="003046E6" w:rsidP="00D462E6">
            <w:pPr>
              <w:jc w:val="both"/>
              <w:rPr>
                <w:rFonts w:ascii="Arial" w:hAnsi="Arial" w:cs="Arial"/>
              </w:rPr>
            </w:pPr>
          </w:p>
        </w:tc>
      </w:tr>
    </w:tbl>
    <w:bookmarkEnd w:id="0"/>
    <w:p w14:paraId="7E3B6270" w14:textId="60A3E609" w:rsidR="00965D66" w:rsidRDefault="00965D66">
      <w:pPr>
        <w:rPr>
          <w:rFonts w:ascii="Arial" w:hAnsi="Arial"/>
        </w:rPr>
      </w:pPr>
      <w:r>
        <w:rPr>
          <w:rFonts w:ascii="Arial" w:hAnsi="Arial"/>
        </w:rPr>
        <w:t>The restrictions imposed by this notice will not apply to those vehicles associated with the works, emergency service vehicles or vehicular access to affected properties where practicable and will only apply during such times and to such extent as indicated by traffic signs.</w:t>
      </w:r>
    </w:p>
    <w:p w14:paraId="473C4CA3" w14:textId="77777777" w:rsidR="00965D66" w:rsidRDefault="00965D66">
      <w:pPr>
        <w:rPr>
          <w:rFonts w:ascii="Arial" w:hAnsi="Arial"/>
        </w:rPr>
      </w:pPr>
    </w:p>
    <w:p w14:paraId="6F54DD0F" w14:textId="77777777" w:rsidR="00965D66" w:rsidRDefault="00965D66">
      <w:pPr>
        <w:jc w:val="both"/>
        <w:rPr>
          <w:rFonts w:ascii="Arial" w:hAnsi="Arial"/>
        </w:rPr>
      </w:pPr>
      <w:r>
        <w:rPr>
          <w:rFonts w:ascii="Arial" w:hAnsi="Arial"/>
        </w:rPr>
        <w:t xml:space="preserve">It is intended that works </w:t>
      </w:r>
      <w:proofErr w:type="gramStart"/>
      <w:r>
        <w:rPr>
          <w:rFonts w:ascii="Arial" w:hAnsi="Arial"/>
        </w:rPr>
        <w:t>are</w:t>
      </w:r>
      <w:proofErr w:type="gramEnd"/>
      <w:r>
        <w:rPr>
          <w:rFonts w:ascii="Arial" w:hAnsi="Arial"/>
        </w:rPr>
        <w:t xml:space="preserve"> completed within the </w:t>
      </w:r>
      <w:proofErr w:type="gramStart"/>
      <w:r>
        <w:rPr>
          <w:rFonts w:ascii="Arial" w:hAnsi="Arial"/>
        </w:rPr>
        <w:t>time period</w:t>
      </w:r>
      <w:proofErr w:type="gramEnd"/>
      <w:r>
        <w:rPr>
          <w:rFonts w:ascii="Arial" w:hAnsi="Arial"/>
        </w:rPr>
        <w:t xml:space="preserve"> stated above, however this notice may continue in force for a maximum duration of 5 days if necessary.</w:t>
      </w:r>
    </w:p>
    <w:p w14:paraId="25B16C1B" w14:textId="77777777" w:rsidR="00965D66" w:rsidRDefault="00965D66">
      <w:pPr>
        <w:rPr>
          <w:rFonts w:ascii="Arial" w:hAnsi="Arial"/>
        </w:rPr>
      </w:pPr>
    </w:p>
    <w:p w14:paraId="228D11C4" w14:textId="77777777" w:rsidR="00965D66" w:rsidRDefault="00965D66">
      <w:pPr>
        <w:rPr>
          <w:rFonts w:ascii="Arial" w:hAnsi="Arial"/>
        </w:rPr>
      </w:pPr>
      <w:r>
        <w:rPr>
          <w:rFonts w:ascii="Arial" w:hAnsi="Arial"/>
        </w:rPr>
        <w:t>Pedestrian access will be maintained for the duration of the closure.</w:t>
      </w:r>
    </w:p>
    <w:p w14:paraId="18EF4A65" w14:textId="77777777" w:rsidR="00965D66" w:rsidRDefault="00965D66">
      <w:pPr>
        <w:rPr>
          <w:rFonts w:ascii="Arial" w:hAnsi="Arial"/>
          <w:b/>
        </w:rPr>
      </w:pPr>
    </w:p>
    <w:p w14:paraId="0DD828DC" w14:textId="7F7B1C3A" w:rsidR="00537EEA" w:rsidRPr="00537EEA" w:rsidRDefault="00537EEA">
      <w:pPr>
        <w:rPr>
          <w:rFonts w:ascii="Arial" w:hAnsi="Arial"/>
        </w:rPr>
      </w:pPr>
      <w:r w:rsidRPr="00537EEA">
        <w:rPr>
          <w:rFonts w:ascii="Arial" w:hAnsi="Arial"/>
        </w:rPr>
        <w:t>Dated:</w:t>
      </w:r>
      <w:r w:rsidR="006146E6">
        <w:rPr>
          <w:rFonts w:ascii="Arial" w:hAnsi="Arial"/>
        </w:rPr>
        <w:t xml:space="preserve"> </w:t>
      </w:r>
      <w:r w:rsidR="0010211E">
        <w:rPr>
          <w:rFonts w:ascii="Arial" w:hAnsi="Arial"/>
        </w:rPr>
        <w:t>7</w:t>
      </w:r>
      <w:r w:rsidR="00B77E14" w:rsidRPr="00B77E14">
        <w:rPr>
          <w:rFonts w:ascii="Arial" w:hAnsi="Arial"/>
          <w:vertAlign w:val="superscript"/>
        </w:rPr>
        <w:t>th</w:t>
      </w:r>
      <w:r w:rsidR="00B77E14">
        <w:rPr>
          <w:rFonts w:ascii="Arial" w:hAnsi="Arial"/>
        </w:rPr>
        <w:t xml:space="preserve"> </w:t>
      </w:r>
      <w:r w:rsidR="00BD4673">
        <w:rPr>
          <w:rFonts w:ascii="Arial" w:hAnsi="Arial"/>
        </w:rPr>
        <w:t>April</w:t>
      </w:r>
      <w:r w:rsidR="005237D3">
        <w:rPr>
          <w:rFonts w:ascii="Arial" w:hAnsi="Arial"/>
        </w:rPr>
        <w:t xml:space="preserve"> 2026</w:t>
      </w:r>
    </w:p>
    <w:p w14:paraId="01732A63" w14:textId="77777777" w:rsidR="009F36D5" w:rsidRDefault="009F36D5">
      <w:pPr>
        <w:rPr>
          <w:rFonts w:ascii="Arial" w:hAnsi="Arial"/>
          <w:b/>
        </w:rPr>
      </w:pPr>
    </w:p>
    <w:p w14:paraId="7CEAF652" w14:textId="20B2ABBD" w:rsidR="00965D66" w:rsidRDefault="00B774F5">
      <w:pPr>
        <w:rPr>
          <w:rFonts w:ascii="Arial" w:hAnsi="Arial"/>
          <w:b/>
        </w:rPr>
      </w:pPr>
      <w:r>
        <w:rPr>
          <w:rFonts w:ascii="Arial" w:hAnsi="Arial"/>
          <w:b/>
        </w:rPr>
        <w:t>Stephen Benger</w:t>
      </w:r>
    </w:p>
    <w:p w14:paraId="5CF8B0AE" w14:textId="752B34C5" w:rsidR="00965D66" w:rsidRDefault="00B774F5">
      <w:pPr>
        <w:rPr>
          <w:rFonts w:ascii="Arial" w:hAnsi="Arial"/>
          <w:b/>
        </w:rPr>
      </w:pPr>
      <w:r>
        <w:rPr>
          <w:rFonts w:ascii="Arial" w:hAnsi="Arial"/>
          <w:b/>
        </w:rPr>
        <w:t>Group Engineer – Infrastructure</w:t>
      </w:r>
    </w:p>
    <w:p w14:paraId="4B9EFE05" w14:textId="77777777" w:rsidR="00965D66" w:rsidRDefault="00965D66">
      <w:pPr>
        <w:rPr>
          <w:rFonts w:ascii="Arial" w:hAnsi="Arial"/>
          <w:b/>
        </w:rPr>
      </w:pPr>
      <w:r>
        <w:rPr>
          <w:rFonts w:ascii="Arial" w:hAnsi="Arial"/>
          <w:b/>
        </w:rPr>
        <w:t>Pembrokeshire County Council</w:t>
      </w:r>
    </w:p>
    <w:p w14:paraId="2D83D47E" w14:textId="77777777" w:rsidR="00965D66" w:rsidRDefault="00965D66">
      <w:pPr>
        <w:rPr>
          <w:rFonts w:ascii="Arial" w:hAnsi="Arial"/>
          <w:b/>
        </w:rPr>
      </w:pPr>
      <w:r>
        <w:rPr>
          <w:rFonts w:ascii="Arial" w:hAnsi="Arial"/>
          <w:b/>
        </w:rPr>
        <w:t>County Hall</w:t>
      </w:r>
    </w:p>
    <w:p w14:paraId="357BB4F9" w14:textId="77777777" w:rsidR="004F2606" w:rsidRDefault="00965D66">
      <w:pPr>
        <w:rPr>
          <w:rFonts w:ascii="Arial" w:hAnsi="Arial"/>
          <w:b/>
        </w:rPr>
      </w:pPr>
      <w:r>
        <w:rPr>
          <w:rFonts w:ascii="Arial" w:hAnsi="Arial"/>
          <w:b/>
        </w:rPr>
        <w:t>Haverfordwest</w:t>
      </w:r>
    </w:p>
    <w:sectPr w:rsidR="004F2606" w:rsidSect="00DE6D8B">
      <w:pgSz w:w="11909" w:h="16834"/>
      <w:pgMar w:top="864" w:right="1138" w:bottom="864" w:left="1138"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A551E"/>
    <w:multiLevelType w:val="hybridMultilevel"/>
    <w:tmpl w:val="95DCA802"/>
    <w:lvl w:ilvl="0" w:tplc="5978B168">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8FA012B"/>
    <w:multiLevelType w:val="hybridMultilevel"/>
    <w:tmpl w:val="BA14056E"/>
    <w:lvl w:ilvl="0" w:tplc="4E30D840">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E1B095F"/>
    <w:multiLevelType w:val="hybridMultilevel"/>
    <w:tmpl w:val="66346AF4"/>
    <w:lvl w:ilvl="0" w:tplc="F5C887C8">
      <w:numFmt w:val="bullet"/>
      <w:lvlText w:val="-"/>
      <w:lvlJc w:val="left"/>
      <w:pPr>
        <w:ind w:left="720" w:hanging="360"/>
      </w:pPr>
      <w:rPr>
        <w:rFonts w:ascii="Calibri" w:eastAsia="Apto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F801CEB"/>
    <w:multiLevelType w:val="hybridMultilevel"/>
    <w:tmpl w:val="88E8D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1569899">
    <w:abstractNumId w:val="2"/>
  </w:num>
  <w:num w:numId="2" w16cid:durableId="1773283927">
    <w:abstractNumId w:val="3"/>
  </w:num>
  <w:num w:numId="3" w16cid:durableId="2144537786">
    <w:abstractNumId w:val="3"/>
  </w:num>
  <w:num w:numId="4" w16cid:durableId="822740479">
    <w:abstractNumId w:val="1"/>
  </w:num>
  <w:num w:numId="5" w16cid:durableId="137758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EA"/>
    <w:rsid w:val="00001434"/>
    <w:rsid w:val="000132A4"/>
    <w:rsid w:val="00022D11"/>
    <w:rsid w:val="00027E61"/>
    <w:rsid w:val="000320D7"/>
    <w:rsid w:val="000376BA"/>
    <w:rsid w:val="00046724"/>
    <w:rsid w:val="0005154C"/>
    <w:rsid w:val="00062DBE"/>
    <w:rsid w:val="000639C5"/>
    <w:rsid w:val="000773B5"/>
    <w:rsid w:val="000872D4"/>
    <w:rsid w:val="0009227F"/>
    <w:rsid w:val="00094CDB"/>
    <w:rsid w:val="000976FD"/>
    <w:rsid w:val="000A101F"/>
    <w:rsid w:val="000A6282"/>
    <w:rsid w:val="000B168D"/>
    <w:rsid w:val="000B1E1C"/>
    <w:rsid w:val="000B5F38"/>
    <w:rsid w:val="000C03D6"/>
    <w:rsid w:val="000C363A"/>
    <w:rsid w:val="000C39DD"/>
    <w:rsid w:val="000C4FC5"/>
    <w:rsid w:val="000C5EEA"/>
    <w:rsid w:val="000D5AE6"/>
    <w:rsid w:val="000F234A"/>
    <w:rsid w:val="000F3658"/>
    <w:rsid w:val="0010211E"/>
    <w:rsid w:val="001049AD"/>
    <w:rsid w:val="0011251F"/>
    <w:rsid w:val="0011293E"/>
    <w:rsid w:val="001146E3"/>
    <w:rsid w:val="00130BBA"/>
    <w:rsid w:val="00143B52"/>
    <w:rsid w:val="00152164"/>
    <w:rsid w:val="00152177"/>
    <w:rsid w:val="00154415"/>
    <w:rsid w:val="00162983"/>
    <w:rsid w:val="00164D89"/>
    <w:rsid w:val="00181BE2"/>
    <w:rsid w:val="0018491A"/>
    <w:rsid w:val="00194BC9"/>
    <w:rsid w:val="00197AA9"/>
    <w:rsid w:val="00197BB4"/>
    <w:rsid w:val="001A269C"/>
    <w:rsid w:val="001B5CA7"/>
    <w:rsid w:val="001C7470"/>
    <w:rsid w:val="001D18D9"/>
    <w:rsid w:val="001D284B"/>
    <w:rsid w:val="001F0E91"/>
    <w:rsid w:val="001F7482"/>
    <w:rsid w:val="0021341B"/>
    <w:rsid w:val="00215446"/>
    <w:rsid w:val="00230CDD"/>
    <w:rsid w:val="00230E1E"/>
    <w:rsid w:val="0023120B"/>
    <w:rsid w:val="002421A3"/>
    <w:rsid w:val="00242530"/>
    <w:rsid w:val="002523AE"/>
    <w:rsid w:val="002567F8"/>
    <w:rsid w:val="0026080D"/>
    <w:rsid w:val="002626BD"/>
    <w:rsid w:val="0026553C"/>
    <w:rsid w:val="00272A91"/>
    <w:rsid w:val="00275C12"/>
    <w:rsid w:val="002841DB"/>
    <w:rsid w:val="002913AF"/>
    <w:rsid w:val="002954F9"/>
    <w:rsid w:val="00296838"/>
    <w:rsid w:val="00297A6B"/>
    <w:rsid w:val="002A0C3F"/>
    <w:rsid w:val="002C4BE6"/>
    <w:rsid w:val="002C519F"/>
    <w:rsid w:val="002C5E8C"/>
    <w:rsid w:val="002D1343"/>
    <w:rsid w:val="002D378D"/>
    <w:rsid w:val="002D3B23"/>
    <w:rsid w:val="002E212C"/>
    <w:rsid w:val="002E4651"/>
    <w:rsid w:val="00301AF2"/>
    <w:rsid w:val="0030335F"/>
    <w:rsid w:val="003046E6"/>
    <w:rsid w:val="00304F4C"/>
    <w:rsid w:val="0031077B"/>
    <w:rsid w:val="00336256"/>
    <w:rsid w:val="00337175"/>
    <w:rsid w:val="0035305B"/>
    <w:rsid w:val="00360AE3"/>
    <w:rsid w:val="00371699"/>
    <w:rsid w:val="00377B21"/>
    <w:rsid w:val="003A0AD4"/>
    <w:rsid w:val="003A1C5B"/>
    <w:rsid w:val="003A1E5A"/>
    <w:rsid w:val="003A319B"/>
    <w:rsid w:val="003A7B24"/>
    <w:rsid w:val="003C2ED1"/>
    <w:rsid w:val="003D1276"/>
    <w:rsid w:val="003D58B4"/>
    <w:rsid w:val="0040200A"/>
    <w:rsid w:val="00404452"/>
    <w:rsid w:val="00417FE6"/>
    <w:rsid w:val="00430C3A"/>
    <w:rsid w:val="004357B2"/>
    <w:rsid w:val="00440361"/>
    <w:rsid w:val="00442042"/>
    <w:rsid w:val="00442995"/>
    <w:rsid w:val="004533DB"/>
    <w:rsid w:val="00455A89"/>
    <w:rsid w:val="0046016E"/>
    <w:rsid w:val="00461010"/>
    <w:rsid w:val="0046550C"/>
    <w:rsid w:val="004754D6"/>
    <w:rsid w:val="004939E0"/>
    <w:rsid w:val="004A323B"/>
    <w:rsid w:val="004A3595"/>
    <w:rsid w:val="004B0649"/>
    <w:rsid w:val="004B2901"/>
    <w:rsid w:val="004C2281"/>
    <w:rsid w:val="004C241F"/>
    <w:rsid w:val="004C330E"/>
    <w:rsid w:val="004D6137"/>
    <w:rsid w:val="004F2606"/>
    <w:rsid w:val="005059D6"/>
    <w:rsid w:val="00515027"/>
    <w:rsid w:val="005237D3"/>
    <w:rsid w:val="00534D96"/>
    <w:rsid w:val="00537EEA"/>
    <w:rsid w:val="0054099C"/>
    <w:rsid w:val="00553FC8"/>
    <w:rsid w:val="00554217"/>
    <w:rsid w:val="00556D2B"/>
    <w:rsid w:val="00573989"/>
    <w:rsid w:val="00577592"/>
    <w:rsid w:val="00577A44"/>
    <w:rsid w:val="00583CDD"/>
    <w:rsid w:val="00584413"/>
    <w:rsid w:val="00586488"/>
    <w:rsid w:val="00591C71"/>
    <w:rsid w:val="005A1C1B"/>
    <w:rsid w:val="005A2FE7"/>
    <w:rsid w:val="005B4F90"/>
    <w:rsid w:val="005B5D09"/>
    <w:rsid w:val="005C04C9"/>
    <w:rsid w:val="005F36EF"/>
    <w:rsid w:val="005F4A9B"/>
    <w:rsid w:val="006037E1"/>
    <w:rsid w:val="00603BAA"/>
    <w:rsid w:val="006146E6"/>
    <w:rsid w:val="00622E4E"/>
    <w:rsid w:val="00636512"/>
    <w:rsid w:val="00637268"/>
    <w:rsid w:val="00645274"/>
    <w:rsid w:val="00661F56"/>
    <w:rsid w:val="00662707"/>
    <w:rsid w:val="006645F3"/>
    <w:rsid w:val="00665A05"/>
    <w:rsid w:val="00667AC2"/>
    <w:rsid w:val="00672EDA"/>
    <w:rsid w:val="00673BA5"/>
    <w:rsid w:val="006A23F0"/>
    <w:rsid w:val="006A36AE"/>
    <w:rsid w:val="006B2483"/>
    <w:rsid w:val="006B4CBD"/>
    <w:rsid w:val="006B70B6"/>
    <w:rsid w:val="006C3453"/>
    <w:rsid w:val="006D7340"/>
    <w:rsid w:val="006E5ECA"/>
    <w:rsid w:val="006F2336"/>
    <w:rsid w:val="00707C05"/>
    <w:rsid w:val="00713CDD"/>
    <w:rsid w:val="0073036D"/>
    <w:rsid w:val="00744A4C"/>
    <w:rsid w:val="007474BD"/>
    <w:rsid w:val="00750AF7"/>
    <w:rsid w:val="00751B09"/>
    <w:rsid w:val="0075505D"/>
    <w:rsid w:val="00756AC5"/>
    <w:rsid w:val="00763BB9"/>
    <w:rsid w:val="00777A4A"/>
    <w:rsid w:val="00791A90"/>
    <w:rsid w:val="00796F2E"/>
    <w:rsid w:val="00797F10"/>
    <w:rsid w:val="007B2230"/>
    <w:rsid w:val="007B2B1A"/>
    <w:rsid w:val="007E0201"/>
    <w:rsid w:val="007F7523"/>
    <w:rsid w:val="00801F07"/>
    <w:rsid w:val="0080713C"/>
    <w:rsid w:val="00824F3F"/>
    <w:rsid w:val="00826768"/>
    <w:rsid w:val="008329FA"/>
    <w:rsid w:val="00836B3D"/>
    <w:rsid w:val="008412CF"/>
    <w:rsid w:val="008442CD"/>
    <w:rsid w:val="00856487"/>
    <w:rsid w:val="00860E7C"/>
    <w:rsid w:val="00873DD1"/>
    <w:rsid w:val="008827FD"/>
    <w:rsid w:val="00892BDD"/>
    <w:rsid w:val="008A4850"/>
    <w:rsid w:val="008A717D"/>
    <w:rsid w:val="008B14F9"/>
    <w:rsid w:val="008B4397"/>
    <w:rsid w:val="008D0CCD"/>
    <w:rsid w:val="008D3564"/>
    <w:rsid w:val="008D7CB2"/>
    <w:rsid w:val="008F2998"/>
    <w:rsid w:val="00906FC2"/>
    <w:rsid w:val="00922EE3"/>
    <w:rsid w:val="0093062D"/>
    <w:rsid w:val="00943D49"/>
    <w:rsid w:val="0094431E"/>
    <w:rsid w:val="009642AA"/>
    <w:rsid w:val="00965D66"/>
    <w:rsid w:val="0096607C"/>
    <w:rsid w:val="009843B3"/>
    <w:rsid w:val="00992DFB"/>
    <w:rsid w:val="009A1FFF"/>
    <w:rsid w:val="009A2026"/>
    <w:rsid w:val="009B302C"/>
    <w:rsid w:val="009B77B1"/>
    <w:rsid w:val="009B7B3E"/>
    <w:rsid w:val="009D716C"/>
    <w:rsid w:val="009F36D5"/>
    <w:rsid w:val="009F5A53"/>
    <w:rsid w:val="009F643E"/>
    <w:rsid w:val="00A03AF1"/>
    <w:rsid w:val="00A07F44"/>
    <w:rsid w:val="00A12520"/>
    <w:rsid w:val="00A149CF"/>
    <w:rsid w:val="00A22E67"/>
    <w:rsid w:val="00A275A6"/>
    <w:rsid w:val="00A50A04"/>
    <w:rsid w:val="00A5171E"/>
    <w:rsid w:val="00A51DA8"/>
    <w:rsid w:val="00A54BEF"/>
    <w:rsid w:val="00A70708"/>
    <w:rsid w:val="00A845FA"/>
    <w:rsid w:val="00A93858"/>
    <w:rsid w:val="00AB0FEC"/>
    <w:rsid w:val="00AC0634"/>
    <w:rsid w:val="00AC4484"/>
    <w:rsid w:val="00AC73C6"/>
    <w:rsid w:val="00AD14B4"/>
    <w:rsid w:val="00AF63F3"/>
    <w:rsid w:val="00B002DD"/>
    <w:rsid w:val="00B126D0"/>
    <w:rsid w:val="00B134C1"/>
    <w:rsid w:val="00B43ADE"/>
    <w:rsid w:val="00B44250"/>
    <w:rsid w:val="00B72DDB"/>
    <w:rsid w:val="00B774F5"/>
    <w:rsid w:val="00B77E14"/>
    <w:rsid w:val="00B8002D"/>
    <w:rsid w:val="00B80983"/>
    <w:rsid w:val="00B82585"/>
    <w:rsid w:val="00B83894"/>
    <w:rsid w:val="00B913B7"/>
    <w:rsid w:val="00B92136"/>
    <w:rsid w:val="00B945EA"/>
    <w:rsid w:val="00BA371C"/>
    <w:rsid w:val="00BA69DF"/>
    <w:rsid w:val="00BB4EB3"/>
    <w:rsid w:val="00BB583E"/>
    <w:rsid w:val="00BC6575"/>
    <w:rsid w:val="00BC6E87"/>
    <w:rsid w:val="00BD4673"/>
    <w:rsid w:val="00BE4EE0"/>
    <w:rsid w:val="00C01816"/>
    <w:rsid w:val="00C04CE1"/>
    <w:rsid w:val="00C16542"/>
    <w:rsid w:val="00C26723"/>
    <w:rsid w:val="00C34E64"/>
    <w:rsid w:val="00C44BE8"/>
    <w:rsid w:val="00C548F2"/>
    <w:rsid w:val="00C645F3"/>
    <w:rsid w:val="00C70DFB"/>
    <w:rsid w:val="00C84708"/>
    <w:rsid w:val="00C971F6"/>
    <w:rsid w:val="00C97D10"/>
    <w:rsid w:val="00CA55DA"/>
    <w:rsid w:val="00CE32A1"/>
    <w:rsid w:val="00CF039E"/>
    <w:rsid w:val="00D036C3"/>
    <w:rsid w:val="00D0416C"/>
    <w:rsid w:val="00D10CB9"/>
    <w:rsid w:val="00D1189B"/>
    <w:rsid w:val="00D168ED"/>
    <w:rsid w:val="00D215E5"/>
    <w:rsid w:val="00D4181E"/>
    <w:rsid w:val="00D462E6"/>
    <w:rsid w:val="00D525E1"/>
    <w:rsid w:val="00D60EB3"/>
    <w:rsid w:val="00D64D69"/>
    <w:rsid w:val="00D70C01"/>
    <w:rsid w:val="00D71A35"/>
    <w:rsid w:val="00D75BB6"/>
    <w:rsid w:val="00D77EAA"/>
    <w:rsid w:val="00D81717"/>
    <w:rsid w:val="00D8478E"/>
    <w:rsid w:val="00D92A1E"/>
    <w:rsid w:val="00D9324F"/>
    <w:rsid w:val="00DA25CC"/>
    <w:rsid w:val="00DA3737"/>
    <w:rsid w:val="00DA41A8"/>
    <w:rsid w:val="00DB5289"/>
    <w:rsid w:val="00DC00CC"/>
    <w:rsid w:val="00DC64C2"/>
    <w:rsid w:val="00DE13B9"/>
    <w:rsid w:val="00DE1704"/>
    <w:rsid w:val="00DE6D8B"/>
    <w:rsid w:val="00E3519D"/>
    <w:rsid w:val="00E42D23"/>
    <w:rsid w:val="00E47A45"/>
    <w:rsid w:val="00E578C5"/>
    <w:rsid w:val="00E73646"/>
    <w:rsid w:val="00E9007F"/>
    <w:rsid w:val="00EA5F19"/>
    <w:rsid w:val="00EB1D27"/>
    <w:rsid w:val="00EB55E7"/>
    <w:rsid w:val="00EB5649"/>
    <w:rsid w:val="00ED3632"/>
    <w:rsid w:val="00EE1FBE"/>
    <w:rsid w:val="00EE3A5B"/>
    <w:rsid w:val="00EF0FDC"/>
    <w:rsid w:val="00EF4008"/>
    <w:rsid w:val="00EF5319"/>
    <w:rsid w:val="00F04992"/>
    <w:rsid w:val="00F06441"/>
    <w:rsid w:val="00F06532"/>
    <w:rsid w:val="00F12727"/>
    <w:rsid w:val="00F17A92"/>
    <w:rsid w:val="00F20C8D"/>
    <w:rsid w:val="00F2132B"/>
    <w:rsid w:val="00F34B48"/>
    <w:rsid w:val="00F355EF"/>
    <w:rsid w:val="00F62C35"/>
    <w:rsid w:val="00F76C96"/>
    <w:rsid w:val="00F77D07"/>
    <w:rsid w:val="00F97CF7"/>
    <w:rsid w:val="00FA0DAB"/>
    <w:rsid w:val="00FD0E37"/>
    <w:rsid w:val="00FE33C8"/>
    <w:rsid w:val="00FE4FF9"/>
    <w:rsid w:val="00FE58AF"/>
    <w:rsid w:val="00FF5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A088A4"/>
  <w15:docId w15:val="{CB68219E-F969-4964-9730-A1EE151E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E1E"/>
    <w:pPr>
      <w:overflowPunct w:val="0"/>
      <w:autoSpaceDE w:val="0"/>
      <w:autoSpaceDN w:val="0"/>
      <w:adjustRightInd w:val="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230E1E"/>
    <w:pPr>
      <w:overflowPunct w:val="0"/>
      <w:autoSpaceDE w:val="0"/>
      <w:autoSpaceDN w:val="0"/>
      <w:adjustRightInd w:val="0"/>
      <w:spacing w:before="60" w:after="60"/>
      <w:textAlignment w:val="baseline"/>
    </w:pPr>
    <w:rPr>
      <w:noProof/>
      <w:sz w:val="24"/>
      <w:lang w:val="en-US" w:eastAsia="en-US"/>
    </w:rPr>
  </w:style>
  <w:style w:type="paragraph" w:styleId="Title">
    <w:name w:val="Title"/>
    <w:basedOn w:val="Normal"/>
    <w:qFormat/>
    <w:rsid w:val="00230E1E"/>
    <w:pPr>
      <w:jc w:val="center"/>
    </w:pPr>
    <w:rPr>
      <w:b/>
      <w:sz w:val="96"/>
    </w:rPr>
  </w:style>
  <w:style w:type="paragraph" w:styleId="BalloonText">
    <w:name w:val="Balloon Text"/>
    <w:basedOn w:val="Normal"/>
    <w:rsid w:val="00230E1E"/>
    <w:rPr>
      <w:rFonts w:ascii="Tahoma" w:hAnsi="Tahoma"/>
      <w:sz w:val="16"/>
    </w:rPr>
  </w:style>
  <w:style w:type="character" w:styleId="Hyperlink">
    <w:name w:val="Hyperlink"/>
    <w:basedOn w:val="DefaultParagraphFont"/>
    <w:rsid w:val="00430C3A"/>
    <w:rPr>
      <w:color w:val="0000FF"/>
      <w:u w:val="single"/>
    </w:rPr>
  </w:style>
  <w:style w:type="table" w:styleId="TableGrid">
    <w:name w:val="Table Grid"/>
    <w:basedOn w:val="TableNormal"/>
    <w:rsid w:val="002A0C3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370">
      <w:bodyDiv w:val="1"/>
      <w:marLeft w:val="0"/>
      <w:marRight w:val="0"/>
      <w:marTop w:val="0"/>
      <w:marBottom w:val="0"/>
      <w:divBdr>
        <w:top w:val="none" w:sz="0" w:space="0" w:color="auto"/>
        <w:left w:val="none" w:sz="0" w:space="0" w:color="auto"/>
        <w:bottom w:val="none" w:sz="0" w:space="0" w:color="auto"/>
        <w:right w:val="none" w:sz="0" w:space="0" w:color="auto"/>
      </w:divBdr>
    </w:div>
    <w:div w:id="83915707">
      <w:bodyDiv w:val="1"/>
      <w:marLeft w:val="0"/>
      <w:marRight w:val="0"/>
      <w:marTop w:val="0"/>
      <w:marBottom w:val="0"/>
      <w:divBdr>
        <w:top w:val="none" w:sz="0" w:space="0" w:color="auto"/>
        <w:left w:val="none" w:sz="0" w:space="0" w:color="auto"/>
        <w:bottom w:val="none" w:sz="0" w:space="0" w:color="auto"/>
        <w:right w:val="none" w:sz="0" w:space="0" w:color="auto"/>
      </w:divBdr>
    </w:div>
    <w:div w:id="108356323">
      <w:bodyDiv w:val="1"/>
      <w:marLeft w:val="0"/>
      <w:marRight w:val="0"/>
      <w:marTop w:val="0"/>
      <w:marBottom w:val="0"/>
      <w:divBdr>
        <w:top w:val="none" w:sz="0" w:space="0" w:color="auto"/>
        <w:left w:val="none" w:sz="0" w:space="0" w:color="auto"/>
        <w:bottom w:val="none" w:sz="0" w:space="0" w:color="auto"/>
        <w:right w:val="none" w:sz="0" w:space="0" w:color="auto"/>
      </w:divBdr>
    </w:div>
    <w:div w:id="194856275">
      <w:bodyDiv w:val="1"/>
      <w:marLeft w:val="0"/>
      <w:marRight w:val="0"/>
      <w:marTop w:val="0"/>
      <w:marBottom w:val="0"/>
      <w:divBdr>
        <w:top w:val="none" w:sz="0" w:space="0" w:color="auto"/>
        <w:left w:val="none" w:sz="0" w:space="0" w:color="auto"/>
        <w:bottom w:val="none" w:sz="0" w:space="0" w:color="auto"/>
        <w:right w:val="none" w:sz="0" w:space="0" w:color="auto"/>
      </w:divBdr>
    </w:div>
    <w:div w:id="300841707">
      <w:bodyDiv w:val="1"/>
      <w:marLeft w:val="0"/>
      <w:marRight w:val="0"/>
      <w:marTop w:val="0"/>
      <w:marBottom w:val="0"/>
      <w:divBdr>
        <w:top w:val="none" w:sz="0" w:space="0" w:color="auto"/>
        <w:left w:val="none" w:sz="0" w:space="0" w:color="auto"/>
        <w:bottom w:val="none" w:sz="0" w:space="0" w:color="auto"/>
        <w:right w:val="none" w:sz="0" w:space="0" w:color="auto"/>
      </w:divBdr>
    </w:div>
    <w:div w:id="308750271">
      <w:bodyDiv w:val="1"/>
      <w:marLeft w:val="0"/>
      <w:marRight w:val="0"/>
      <w:marTop w:val="0"/>
      <w:marBottom w:val="0"/>
      <w:divBdr>
        <w:top w:val="none" w:sz="0" w:space="0" w:color="auto"/>
        <w:left w:val="none" w:sz="0" w:space="0" w:color="auto"/>
        <w:bottom w:val="none" w:sz="0" w:space="0" w:color="auto"/>
        <w:right w:val="none" w:sz="0" w:space="0" w:color="auto"/>
      </w:divBdr>
    </w:div>
    <w:div w:id="359554063">
      <w:bodyDiv w:val="1"/>
      <w:marLeft w:val="0"/>
      <w:marRight w:val="0"/>
      <w:marTop w:val="0"/>
      <w:marBottom w:val="0"/>
      <w:divBdr>
        <w:top w:val="none" w:sz="0" w:space="0" w:color="auto"/>
        <w:left w:val="none" w:sz="0" w:space="0" w:color="auto"/>
        <w:bottom w:val="none" w:sz="0" w:space="0" w:color="auto"/>
        <w:right w:val="none" w:sz="0" w:space="0" w:color="auto"/>
      </w:divBdr>
    </w:div>
    <w:div w:id="411241703">
      <w:bodyDiv w:val="1"/>
      <w:marLeft w:val="0"/>
      <w:marRight w:val="0"/>
      <w:marTop w:val="0"/>
      <w:marBottom w:val="0"/>
      <w:divBdr>
        <w:top w:val="none" w:sz="0" w:space="0" w:color="auto"/>
        <w:left w:val="none" w:sz="0" w:space="0" w:color="auto"/>
        <w:bottom w:val="none" w:sz="0" w:space="0" w:color="auto"/>
        <w:right w:val="none" w:sz="0" w:space="0" w:color="auto"/>
      </w:divBdr>
    </w:div>
    <w:div w:id="481194271">
      <w:bodyDiv w:val="1"/>
      <w:marLeft w:val="0"/>
      <w:marRight w:val="0"/>
      <w:marTop w:val="0"/>
      <w:marBottom w:val="0"/>
      <w:divBdr>
        <w:top w:val="none" w:sz="0" w:space="0" w:color="auto"/>
        <w:left w:val="none" w:sz="0" w:space="0" w:color="auto"/>
        <w:bottom w:val="none" w:sz="0" w:space="0" w:color="auto"/>
        <w:right w:val="none" w:sz="0" w:space="0" w:color="auto"/>
      </w:divBdr>
    </w:div>
    <w:div w:id="590242612">
      <w:bodyDiv w:val="1"/>
      <w:marLeft w:val="0"/>
      <w:marRight w:val="0"/>
      <w:marTop w:val="0"/>
      <w:marBottom w:val="0"/>
      <w:divBdr>
        <w:top w:val="none" w:sz="0" w:space="0" w:color="auto"/>
        <w:left w:val="none" w:sz="0" w:space="0" w:color="auto"/>
        <w:bottom w:val="none" w:sz="0" w:space="0" w:color="auto"/>
        <w:right w:val="none" w:sz="0" w:space="0" w:color="auto"/>
      </w:divBdr>
    </w:div>
    <w:div w:id="620721957">
      <w:bodyDiv w:val="1"/>
      <w:marLeft w:val="0"/>
      <w:marRight w:val="0"/>
      <w:marTop w:val="0"/>
      <w:marBottom w:val="0"/>
      <w:divBdr>
        <w:top w:val="none" w:sz="0" w:space="0" w:color="auto"/>
        <w:left w:val="none" w:sz="0" w:space="0" w:color="auto"/>
        <w:bottom w:val="none" w:sz="0" w:space="0" w:color="auto"/>
        <w:right w:val="none" w:sz="0" w:space="0" w:color="auto"/>
      </w:divBdr>
    </w:div>
    <w:div w:id="725183240">
      <w:bodyDiv w:val="1"/>
      <w:marLeft w:val="0"/>
      <w:marRight w:val="0"/>
      <w:marTop w:val="0"/>
      <w:marBottom w:val="0"/>
      <w:divBdr>
        <w:top w:val="none" w:sz="0" w:space="0" w:color="auto"/>
        <w:left w:val="none" w:sz="0" w:space="0" w:color="auto"/>
        <w:bottom w:val="none" w:sz="0" w:space="0" w:color="auto"/>
        <w:right w:val="none" w:sz="0" w:space="0" w:color="auto"/>
      </w:divBdr>
    </w:div>
    <w:div w:id="741415893">
      <w:bodyDiv w:val="1"/>
      <w:marLeft w:val="0"/>
      <w:marRight w:val="0"/>
      <w:marTop w:val="0"/>
      <w:marBottom w:val="0"/>
      <w:divBdr>
        <w:top w:val="none" w:sz="0" w:space="0" w:color="auto"/>
        <w:left w:val="none" w:sz="0" w:space="0" w:color="auto"/>
        <w:bottom w:val="none" w:sz="0" w:space="0" w:color="auto"/>
        <w:right w:val="none" w:sz="0" w:space="0" w:color="auto"/>
      </w:divBdr>
    </w:div>
    <w:div w:id="757336839">
      <w:bodyDiv w:val="1"/>
      <w:marLeft w:val="0"/>
      <w:marRight w:val="0"/>
      <w:marTop w:val="0"/>
      <w:marBottom w:val="0"/>
      <w:divBdr>
        <w:top w:val="none" w:sz="0" w:space="0" w:color="auto"/>
        <w:left w:val="none" w:sz="0" w:space="0" w:color="auto"/>
        <w:bottom w:val="none" w:sz="0" w:space="0" w:color="auto"/>
        <w:right w:val="none" w:sz="0" w:space="0" w:color="auto"/>
      </w:divBdr>
    </w:div>
    <w:div w:id="771314613">
      <w:bodyDiv w:val="1"/>
      <w:marLeft w:val="0"/>
      <w:marRight w:val="0"/>
      <w:marTop w:val="0"/>
      <w:marBottom w:val="0"/>
      <w:divBdr>
        <w:top w:val="none" w:sz="0" w:space="0" w:color="auto"/>
        <w:left w:val="none" w:sz="0" w:space="0" w:color="auto"/>
        <w:bottom w:val="none" w:sz="0" w:space="0" w:color="auto"/>
        <w:right w:val="none" w:sz="0" w:space="0" w:color="auto"/>
      </w:divBdr>
    </w:div>
    <w:div w:id="775097965">
      <w:bodyDiv w:val="1"/>
      <w:marLeft w:val="0"/>
      <w:marRight w:val="0"/>
      <w:marTop w:val="0"/>
      <w:marBottom w:val="0"/>
      <w:divBdr>
        <w:top w:val="none" w:sz="0" w:space="0" w:color="auto"/>
        <w:left w:val="none" w:sz="0" w:space="0" w:color="auto"/>
        <w:bottom w:val="none" w:sz="0" w:space="0" w:color="auto"/>
        <w:right w:val="none" w:sz="0" w:space="0" w:color="auto"/>
      </w:divBdr>
    </w:div>
    <w:div w:id="814295903">
      <w:bodyDiv w:val="1"/>
      <w:marLeft w:val="0"/>
      <w:marRight w:val="0"/>
      <w:marTop w:val="0"/>
      <w:marBottom w:val="0"/>
      <w:divBdr>
        <w:top w:val="none" w:sz="0" w:space="0" w:color="auto"/>
        <w:left w:val="none" w:sz="0" w:space="0" w:color="auto"/>
        <w:bottom w:val="none" w:sz="0" w:space="0" w:color="auto"/>
        <w:right w:val="none" w:sz="0" w:space="0" w:color="auto"/>
      </w:divBdr>
    </w:div>
    <w:div w:id="871116606">
      <w:bodyDiv w:val="1"/>
      <w:marLeft w:val="0"/>
      <w:marRight w:val="0"/>
      <w:marTop w:val="0"/>
      <w:marBottom w:val="0"/>
      <w:divBdr>
        <w:top w:val="none" w:sz="0" w:space="0" w:color="auto"/>
        <w:left w:val="none" w:sz="0" w:space="0" w:color="auto"/>
        <w:bottom w:val="none" w:sz="0" w:space="0" w:color="auto"/>
        <w:right w:val="none" w:sz="0" w:space="0" w:color="auto"/>
      </w:divBdr>
    </w:div>
    <w:div w:id="947196679">
      <w:bodyDiv w:val="1"/>
      <w:marLeft w:val="0"/>
      <w:marRight w:val="0"/>
      <w:marTop w:val="0"/>
      <w:marBottom w:val="0"/>
      <w:divBdr>
        <w:top w:val="none" w:sz="0" w:space="0" w:color="auto"/>
        <w:left w:val="none" w:sz="0" w:space="0" w:color="auto"/>
        <w:bottom w:val="none" w:sz="0" w:space="0" w:color="auto"/>
        <w:right w:val="none" w:sz="0" w:space="0" w:color="auto"/>
      </w:divBdr>
    </w:div>
    <w:div w:id="978655493">
      <w:bodyDiv w:val="1"/>
      <w:marLeft w:val="0"/>
      <w:marRight w:val="0"/>
      <w:marTop w:val="0"/>
      <w:marBottom w:val="0"/>
      <w:divBdr>
        <w:top w:val="none" w:sz="0" w:space="0" w:color="auto"/>
        <w:left w:val="none" w:sz="0" w:space="0" w:color="auto"/>
        <w:bottom w:val="none" w:sz="0" w:space="0" w:color="auto"/>
        <w:right w:val="none" w:sz="0" w:space="0" w:color="auto"/>
      </w:divBdr>
    </w:div>
    <w:div w:id="1019506553">
      <w:bodyDiv w:val="1"/>
      <w:marLeft w:val="0"/>
      <w:marRight w:val="0"/>
      <w:marTop w:val="0"/>
      <w:marBottom w:val="0"/>
      <w:divBdr>
        <w:top w:val="none" w:sz="0" w:space="0" w:color="auto"/>
        <w:left w:val="none" w:sz="0" w:space="0" w:color="auto"/>
        <w:bottom w:val="none" w:sz="0" w:space="0" w:color="auto"/>
        <w:right w:val="none" w:sz="0" w:space="0" w:color="auto"/>
      </w:divBdr>
    </w:div>
    <w:div w:id="1074552343">
      <w:bodyDiv w:val="1"/>
      <w:marLeft w:val="0"/>
      <w:marRight w:val="0"/>
      <w:marTop w:val="0"/>
      <w:marBottom w:val="0"/>
      <w:divBdr>
        <w:top w:val="none" w:sz="0" w:space="0" w:color="auto"/>
        <w:left w:val="none" w:sz="0" w:space="0" w:color="auto"/>
        <w:bottom w:val="none" w:sz="0" w:space="0" w:color="auto"/>
        <w:right w:val="none" w:sz="0" w:space="0" w:color="auto"/>
      </w:divBdr>
    </w:div>
    <w:div w:id="1111629865">
      <w:bodyDiv w:val="1"/>
      <w:marLeft w:val="0"/>
      <w:marRight w:val="0"/>
      <w:marTop w:val="0"/>
      <w:marBottom w:val="0"/>
      <w:divBdr>
        <w:top w:val="none" w:sz="0" w:space="0" w:color="auto"/>
        <w:left w:val="none" w:sz="0" w:space="0" w:color="auto"/>
        <w:bottom w:val="none" w:sz="0" w:space="0" w:color="auto"/>
        <w:right w:val="none" w:sz="0" w:space="0" w:color="auto"/>
      </w:divBdr>
    </w:div>
    <w:div w:id="1142037943">
      <w:bodyDiv w:val="1"/>
      <w:marLeft w:val="0"/>
      <w:marRight w:val="0"/>
      <w:marTop w:val="0"/>
      <w:marBottom w:val="0"/>
      <w:divBdr>
        <w:top w:val="none" w:sz="0" w:space="0" w:color="auto"/>
        <w:left w:val="none" w:sz="0" w:space="0" w:color="auto"/>
        <w:bottom w:val="none" w:sz="0" w:space="0" w:color="auto"/>
        <w:right w:val="none" w:sz="0" w:space="0" w:color="auto"/>
      </w:divBdr>
    </w:div>
    <w:div w:id="1282421982">
      <w:bodyDiv w:val="1"/>
      <w:marLeft w:val="0"/>
      <w:marRight w:val="0"/>
      <w:marTop w:val="0"/>
      <w:marBottom w:val="0"/>
      <w:divBdr>
        <w:top w:val="none" w:sz="0" w:space="0" w:color="auto"/>
        <w:left w:val="none" w:sz="0" w:space="0" w:color="auto"/>
        <w:bottom w:val="none" w:sz="0" w:space="0" w:color="auto"/>
        <w:right w:val="none" w:sz="0" w:space="0" w:color="auto"/>
      </w:divBdr>
    </w:div>
    <w:div w:id="1371492452">
      <w:bodyDiv w:val="1"/>
      <w:marLeft w:val="0"/>
      <w:marRight w:val="0"/>
      <w:marTop w:val="0"/>
      <w:marBottom w:val="0"/>
      <w:divBdr>
        <w:top w:val="none" w:sz="0" w:space="0" w:color="auto"/>
        <w:left w:val="none" w:sz="0" w:space="0" w:color="auto"/>
        <w:bottom w:val="none" w:sz="0" w:space="0" w:color="auto"/>
        <w:right w:val="none" w:sz="0" w:space="0" w:color="auto"/>
      </w:divBdr>
    </w:div>
    <w:div w:id="1459882316">
      <w:bodyDiv w:val="1"/>
      <w:marLeft w:val="0"/>
      <w:marRight w:val="0"/>
      <w:marTop w:val="0"/>
      <w:marBottom w:val="0"/>
      <w:divBdr>
        <w:top w:val="none" w:sz="0" w:space="0" w:color="auto"/>
        <w:left w:val="none" w:sz="0" w:space="0" w:color="auto"/>
        <w:bottom w:val="none" w:sz="0" w:space="0" w:color="auto"/>
        <w:right w:val="none" w:sz="0" w:space="0" w:color="auto"/>
      </w:divBdr>
    </w:div>
    <w:div w:id="1463428993">
      <w:bodyDiv w:val="1"/>
      <w:marLeft w:val="0"/>
      <w:marRight w:val="0"/>
      <w:marTop w:val="0"/>
      <w:marBottom w:val="0"/>
      <w:divBdr>
        <w:top w:val="none" w:sz="0" w:space="0" w:color="auto"/>
        <w:left w:val="none" w:sz="0" w:space="0" w:color="auto"/>
        <w:bottom w:val="none" w:sz="0" w:space="0" w:color="auto"/>
        <w:right w:val="none" w:sz="0" w:space="0" w:color="auto"/>
      </w:divBdr>
    </w:div>
    <w:div w:id="1517303265">
      <w:bodyDiv w:val="1"/>
      <w:marLeft w:val="0"/>
      <w:marRight w:val="0"/>
      <w:marTop w:val="0"/>
      <w:marBottom w:val="0"/>
      <w:divBdr>
        <w:top w:val="none" w:sz="0" w:space="0" w:color="auto"/>
        <w:left w:val="none" w:sz="0" w:space="0" w:color="auto"/>
        <w:bottom w:val="none" w:sz="0" w:space="0" w:color="auto"/>
        <w:right w:val="none" w:sz="0" w:space="0" w:color="auto"/>
      </w:divBdr>
    </w:div>
    <w:div w:id="1548758559">
      <w:bodyDiv w:val="1"/>
      <w:marLeft w:val="0"/>
      <w:marRight w:val="0"/>
      <w:marTop w:val="0"/>
      <w:marBottom w:val="0"/>
      <w:divBdr>
        <w:top w:val="none" w:sz="0" w:space="0" w:color="auto"/>
        <w:left w:val="none" w:sz="0" w:space="0" w:color="auto"/>
        <w:bottom w:val="none" w:sz="0" w:space="0" w:color="auto"/>
        <w:right w:val="none" w:sz="0" w:space="0" w:color="auto"/>
      </w:divBdr>
    </w:div>
    <w:div w:id="1682122819">
      <w:bodyDiv w:val="1"/>
      <w:marLeft w:val="0"/>
      <w:marRight w:val="0"/>
      <w:marTop w:val="0"/>
      <w:marBottom w:val="0"/>
      <w:divBdr>
        <w:top w:val="none" w:sz="0" w:space="0" w:color="auto"/>
        <w:left w:val="none" w:sz="0" w:space="0" w:color="auto"/>
        <w:bottom w:val="none" w:sz="0" w:space="0" w:color="auto"/>
        <w:right w:val="none" w:sz="0" w:space="0" w:color="auto"/>
      </w:divBdr>
    </w:div>
    <w:div w:id="1740128648">
      <w:bodyDiv w:val="1"/>
      <w:marLeft w:val="0"/>
      <w:marRight w:val="0"/>
      <w:marTop w:val="0"/>
      <w:marBottom w:val="0"/>
      <w:divBdr>
        <w:top w:val="none" w:sz="0" w:space="0" w:color="auto"/>
        <w:left w:val="none" w:sz="0" w:space="0" w:color="auto"/>
        <w:bottom w:val="none" w:sz="0" w:space="0" w:color="auto"/>
        <w:right w:val="none" w:sz="0" w:space="0" w:color="auto"/>
      </w:divBdr>
    </w:div>
    <w:div w:id="1876767465">
      <w:bodyDiv w:val="1"/>
      <w:marLeft w:val="0"/>
      <w:marRight w:val="0"/>
      <w:marTop w:val="0"/>
      <w:marBottom w:val="0"/>
      <w:divBdr>
        <w:top w:val="none" w:sz="0" w:space="0" w:color="auto"/>
        <w:left w:val="none" w:sz="0" w:space="0" w:color="auto"/>
        <w:bottom w:val="none" w:sz="0" w:space="0" w:color="auto"/>
        <w:right w:val="none" w:sz="0" w:space="0" w:color="auto"/>
      </w:divBdr>
    </w:div>
    <w:div w:id="1888294585">
      <w:bodyDiv w:val="1"/>
      <w:marLeft w:val="0"/>
      <w:marRight w:val="0"/>
      <w:marTop w:val="0"/>
      <w:marBottom w:val="0"/>
      <w:divBdr>
        <w:top w:val="none" w:sz="0" w:space="0" w:color="auto"/>
        <w:left w:val="none" w:sz="0" w:space="0" w:color="auto"/>
        <w:bottom w:val="none" w:sz="0" w:space="0" w:color="auto"/>
        <w:right w:val="none" w:sz="0" w:space="0" w:color="auto"/>
      </w:divBdr>
    </w:div>
    <w:div w:id="1975215324">
      <w:bodyDiv w:val="1"/>
      <w:marLeft w:val="0"/>
      <w:marRight w:val="0"/>
      <w:marTop w:val="0"/>
      <w:marBottom w:val="0"/>
      <w:divBdr>
        <w:top w:val="none" w:sz="0" w:space="0" w:color="auto"/>
        <w:left w:val="none" w:sz="0" w:space="0" w:color="auto"/>
        <w:bottom w:val="none" w:sz="0" w:space="0" w:color="auto"/>
        <w:right w:val="none" w:sz="0" w:space="0" w:color="auto"/>
      </w:divBdr>
    </w:div>
    <w:div w:id="2025210119">
      <w:bodyDiv w:val="1"/>
      <w:marLeft w:val="0"/>
      <w:marRight w:val="0"/>
      <w:marTop w:val="0"/>
      <w:marBottom w:val="0"/>
      <w:divBdr>
        <w:top w:val="none" w:sz="0" w:space="0" w:color="auto"/>
        <w:left w:val="none" w:sz="0" w:space="0" w:color="auto"/>
        <w:bottom w:val="none" w:sz="0" w:space="0" w:color="auto"/>
        <w:right w:val="none" w:sz="0" w:space="0" w:color="auto"/>
      </w:divBdr>
    </w:div>
    <w:div w:id="2082210647">
      <w:bodyDiv w:val="1"/>
      <w:marLeft w:val="0"/>
      <w:marRight w:val="0"/>
      <w:marTop w:val="0"/>
      <w:marBottom w:val="0"/>
      <w:divBdr>
        <w:top w:val="none" w:sz="0" w:space="0" w:color="auto"/>
        <w:left w:val="none" w:sz="0" w:space="0" w:color="auto"/>
        <w:bottom w:val="none" w:sz="0" w:space="0" w:color="auto"/>
        <w:right w:val="none" w:sz="0" w:space="0" w:color="auto"/>
      </w:divBdr>
    </w:div>
    <w:div w:id="211891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Pembrokeshire County Council</vt:lpstr>
    </vt:vector>
  </TitlesOfParts>
  <Company>Pembs C.C.</Company>
  <LinksUpToDate>false</LinksUpToDate>
  <CharactersWithSpaces>1579</CharactersWithSpaces>
  <SharedDoc>false</SharedDoc>
  <HLinks>
    <vt:vector size="6" baseType="variant">
      <vt:variant>
        <vt:i4>1769539</vt:i4>
      </vt:variant>
      <vt:variant>
        <vt:i4>0</vt:i4>
      </vt:variant>
      <vt:variant>
        <vt:i4>0</vt:i4>
      </vt:variant>
      <vt:variant>
        <vt:i4>5</vt:i4>
      </vt:variant>
      <vt:variant>
        <vt:lpwstr>http://www.pembrokeshire.gov.uk/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Pembrokeshire County Council</dc:title>
  <dc:creator>Trans &amp; Tech Services</dc:creator>
  <cp:lastModifiedBy>stephanie edwards</cp:lastModifiedBy>
  <cp:revision>2</cp:revision>
  <cp:lastPrinted>2013-10-22T09:14:00Z</cp:lastPrinted>
  <dcterms:created xsi:type="dcterms:W3CDTF">2026-04-07T10:52:00Z</dcterms:created>
  <dcterms:modified xsi:type="dcterms:W3CDTF">2026-04-07T10:52:00Z</dcterms:modified>
</cp:coreProperties>
</file>